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微软雅黑" w:hAnsi="微软雅黑" w:eastAsia="微软雅黑"/>
          <w:lang w:eastAsia="zh-CN"/>
        </w:rPr>
      </w:pPr>
    </w:p>
    <w:p>
      <w:pPr>
        <w:spacing w:line="360" w:lineRule="auto"/>
        <w:jc w:val="center"/>
        <w:rPr>
          <w:rFonts w:ascii="微软雅黑" w:hAnsi="微软雅黑" w:eastAsia="微软雅黑"/>
          <w:b/>
          <w:sz w:val="52"/>
          <w:szCs w:val="52"/>
        </w:rPr>
      </w:pPr>
    </w:p>
    <w:p>
      <w:pPr>
        <w:spacing w:line="360" w:lineRule="auto"/>
        <w:jc w:val="center"/>
        <w:rPr>
          <w:rFonts w:ascii="微软雅黑" w:hAnsi="微软雅黑" w:eastAsia="微软雅黑"/>
          <w:b/>
          <w:sz w:val="52"/>
          <w:szCs w:val="52"/>
        </w:rPr>
      </w:pP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72"/>
          <w:szCs w:val="72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72"/>
          <w:szCs w:val="72"/>
          <w:shd w:val="clear" w:fill="FFFFFF"/>
        </w:rPr>
        <w:t>集拼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72"/>
          <w:szCs w:val="72"/>
          <w:shd w:val="clear" w:fill="FFFFFF"/>
          <w:lang w:val="en-US" w:eastAsia="zh-CN"/>
        </w:rPr>
        <w:t>中心操作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72"/>
          <w:szCs w:val="72"/>
          <w:shd w:val="clear" w:fill="FFFFFF"/>
        </w:rPr>
        <w:t>系统</w:t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72"/>
          <w:szCs w:val="72"/>
          <w:shd w:val="clear" w:fill="FFFFFF"/>
          <w:lang w:val="en-US" w:eastAsia="zh-CN"/>
        </w:rPr>
      </w:pPr>
    </w:p>
    <w:p>
      <w:pPr>
        <w:spacing w:line="360" w:lineRule="auto"/>
        <w:jc w:val="center"/>
        <w:rPr>
          <w:rFonts w:hint="default" w:ascii="微软雅黑" w:hAnsi="微软雅黑" w:eastAsia="微软雅黑"/>
          <w:b/>
          <w:sz w:val="72"/>
          <w:szCs w:val="52"/>
          <w:lang w:val="en-US" w:eastAsia="zh-CN"/>
        </w:rPr>
      </w:pPr>
      <w:r>
        <w:rPr>
          <w:rFonts w:hint="eastAsia" w:ascii="微软雅黑" w:hAnsi="微软雅黑" w:eastAsia="微软雅黑"/>
          <w:b/>
          <w:sz w:val="72"/>
          <w:szCs w:val="52"/>
          <w:lang w:val="en-US" w:eastAsia="zh-CN"/>
        </w:rPr>
        <w:t>外网关务管理</w:t>
      </w:r>
    </w:p>
    <w:p>
      <w:pPr>
        <w:spacing w:line="360" w:lineRule="auto"/>
        <w:jc w:val="center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72"/>
          <w:szCs w:val="52"/>
          <w:lang w:val="en-US" w:eastAsia="zh-CN"/>
        </w:rPr>
        <w:t>操作指引</w:t>
      </w:r>
    </w:p>
    <w:p>
      <w:pPr>
        <w:spacing w:line="360" w:lineRule="auto"/>
        <w:jc w:val="center"/>
        <w:rPr>
          <w:rFonts w:ascii="微软雅黑" w:hAnsi="微软雅黑" w:eastAsia="微软雅黑"/>
          <w:b/>
          <w:sz w:val="52"/>
          <w:szCs w:val="52"/>
        </w:rPr>
      </w:pPr>
    </w:p>
    <w:p>
      <w:pPr>
        <w:spacing w:line="360" w:lineRule="auto"/>
        <w:jc w:val="center"/>
        <w:rPr>
          <w:rFonts w:ascii="微软雅黑" w:hAnsi="微软雅黑" w:eastAsia="微软雅黑"/>
          <w:b/>
          <w:sz w:val="52"/>
          <w:szCs w:val="52"/>
        </w:rPr>
      </w:pPr>
    </w:p>
    <w:p>
      <w:pPr>
        <w:spacing w:line="360" w:lineRule="auto"/>
        <w:jc w:val="center"/>
        <w:rPr>
          <w:rFonts w:ascii="微软雅黑" w:hAnsi="微软雅黑" w:eastAsia="微软雅黑"/>
          <w:b/>
          <w:sz w:val="52"/>
          <w:szCs w:val="52"/>
        </w:rPr>
      </w:pPr>
    </w:p>
    <w:p>
      <w:pPr>
        <w:spacing w:line="360" w:lineRule="auto"/>
        <w:jc w:val="center"/>
        <w:rPr>
          <w:rFonts w:ascii="微软雅黑" w:hAnsi="微软雅黑" w:eastAsia="微软雅黑"/>
          <w:b/>
          <w:sz w:val="52"/>
          <w:szCs w:val="52"/>
        </w:rPr>
      </w:pPr>
    </w:p>
    <w:p>
      <w:pPr>
        <w:spacing w:line="360" w:lineRule="auto"/>
        <w:jc w:val="center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sz w:val="28"/>
          <w:lang w:val="en-US" w:eastAsia="zh-CN"/>
        </w:rPr>
        <w:t>2022</w:t>
      </w:r>
      <w:r>
        <w:rPr>
          <w:rFonts w:hint="eastAsia" w:ascii="微软雅黑" w:hAnsi="微软雅黑" w:eastAsia="微软雅黑"/>
          <w:sz w:val="28"/>
        </w:rPr>
        <w:t>年</w:t>
      </w:r>
      <w:r>
        <w:rPr>
          <w:rFonts w:hint="eastAsia" w:ascii="微软雅黑" w:hAnsi="微软雅黑" w:eastAsia="微软雅黑"/>
          <w:sz w:val="28"/>
          <w:lang w:val="en-US" w:eastAsia="zh-CN"/>
        </w:rPr>
        <w:t>7</w:t>
      </w:r>
      <w:r>
        <w:rPr>
          <w:rFonts w:hint="eastAsia" w:ascii="微软雅黑" w:hAnsi="微软雅黑" w:eastAsia="微软雅黑"/>
          <w:sz w:val="28"/>
        </w:rPr>
        <w:t>月</w:t>
      </w:r>
    </w:p>
    <w:p>
      <w:pPr>
        <w:spacing w:line="360" w:lineRule="auto"/>
        <w:rPr>
          <w:rFonts w:ascii="微软雅黑" w:hAnsi="微软雅黑" w:eastAsia="微软雅黑"/>
        </w:rPr>
      </w:pPr>
    </w:p>
    <w:p>
      <w:pPr>
        <w:widowControl/>
        <w:spacing w:line="360" w:lineRule="auto"/>
        <w:jc w:val="left"/>
        <w:rPr>
          <w:rFonts w:ascii="微软雅黑" w:hAnsi="微软雅黑" w:eastAsia="微软雅黑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81824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kern w:val="2"/>
          <w:sz w:val="21"/>
          <w:szCs w:val="22"/>
          <w:lang w:val="en-US" w:eastAsia="zh-CN" w:bidi="ar-SA"/>
        </w:rPr>
      </w:sdtEndPr>
      <w:sdtContent>
        <w:p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_Toc5704 </w:instrText>
          </w:r>
          <w:r>
            <w:fldChar w:fldCharType="separate"/>
          </w:r>
          <w:r>
            <w:rPr>
              <w:rFonts w:hint="default"/>
              <w:szCs w:val="28"/>
              <w:lang w:val="en-US" w:eastAsia="zh-CN"/>
            </w:rPr>
            <w:t xml:space="preserve">1. </w:t>
          </w:r>
          <w:r>
            <w:rPr>
              <w:rFonts w:hint="eastAsia"/>
              <w:szCs w:val="28"/>
              <w:lang w:val="en-US" w:eastAsia="zh-CN"/>
            </w:rPr>
            <w:t>注册</w:t>
          </w:r>
          <w:r>
            <w:tab/>
          </w:r>
          <w:r>
            <w:fldChar w:fldCharType="begin"/>
          </w:r>
          <w:r>
            <w:instrText xml:space="preserve"> PAGEREF _Toc5704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_Toc5190 </w:instrText>
          </w:r>
          <w:r>
            <w:fldChar w:fldCharType="separate"/>
          </w:r>
          <w:r>
            <w:rPr>
              <w:rFonts w:hint="default"/>
              <w:szCs w:val="28"/>
              <w:lang w:val="en-US" w:eastAsia="zh-CN"/>
            </w:rPr>
            <w:t xml:space="preserve">2. </w:t>
          </w:r>
          <w:r>
            <w:rPr>
              <w:rFonts w:hint="eastAsia"/>
              <w:szCs w:val="28"/>
              <w:lang w:val="en-US" w:eastAsia="zh-CN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_Toc5190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_Toc29671 </w:instrText>
          </w:r>
          <w:r>
            <w:fldChar w:fldCharType="separate"/>
          </w:r>
          <w:r>
            <w:rPr>
              <w:rFonts w:hint="default"/>
              <w:szCs w:val="28"/>
              <w:lang w:val="en-US" w:eastAsia="zh-CN"/>
            </w:rPr>
            <w:t xml:space="preserve">3. </w:t>
          </w:r>
          <w:r>
            <w:rPr>
              <w:rFonts w:hint="eastAsia"/>
              <w:szCs w:val="28"/>
              <w:lang w:val="en-US" w:eastAsia="zh-CN"/>
            </w:rPr>
            <w:t>关务申报（录入）</w:t>
          </w:r>
          <w:r>
            <w:tab/>
          </w:r>
          <w:r>
            <w:fldChar w:fldCharType="begin"/>
          </w:r>
          <w:r>
            <w:instrText xml:space="preserve"> PAGEREF _Toc29671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_Toc5667 </w:instrText>
          </w:r>
          <w:r>
            <w:fldChar w:fldCharType="separate"/>
          </w:r>
          <w:r>
            <w:rPr>
              <w:rFonts w:hint="default"/>
              <w:szCs w:val="24"/>
              <w:lang w:val="en-US" w:eastAsia="zh-CN"/>
            </w:rPr>
            <w:t xml:space="preserve">3.1. </w:t>
          </w:r>
          <w:r>
            <w:rPr>
              <w:rFonts w:hint="eastAsia"/>
              <w:szCs w:val="24"/>
              <w:lang w:val="en-US" w:eastAsia="zh-CN"/>
            </w:rPr>
            <w:t>委托单列表</w:t>
          </w:r>
          <w:r>
            <w:tab/>
          </w:r>
          <w:r>
            <w:fldChar w:fldCharType="begin"/>
          </w:r>
          <w:r>
            <w:instrText xml:space="preserve"> PAGEREF _Toc5667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_Toc16960 </w:instrText>
          </w:r>
          <w:r>
            <w:fldChar w:fldCharType="separate"/>
          </w:r>
          <w:r>
            <w:rPr>
              <w:rFonts w:hint="default"/>
              <w:szCs w:val="24"/>
              <w:lang w:val="en-US" w:eastAsia="zh-CN"/>
            </w:rPr>
            <w:t xml:space="preserve">3.2. </w:t>
          </w:r>
          <w:r>
            <w:rPr>
              <w:rFonts w:hint="eastAsia"/>
              <w:szCs w:val="24"/>
              <w:lang w:val="en-US" w:eastAsia="zh-CN"/>
            </w:rPr>
            <w:t>新建委托单</w:t>
          </w:r>
          <w:r>
            <w:tab/>
          </w:r>
          <w:r>
            <w:fldChar w:fldCharType="begin"/>
          </w:r>
          <w:r>
            <w:instrText xml:space="preserve"> PAGEREF _Toc16960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_Toc17128 </w:instrText>
          </w:r>
          <w:r>
            <w:fldChar w:fldCharType="separate"/>
          </w:r>
          <w:r>
            <w:rPr>
              <w:rFonts w:hint="default"/>
              <w:szCs w:val="24"/>
              <w:lang w:val="en-US" w:eastAsia="zh-CN"/>
            </w:rPr>
            <w:t xml:space="preserve">3.3. </w:t>
          </w:r>
          <w:r>
            <w:rPr>
              <w:rFonts w:hint="eastAsia"/>
              <w:szCs w:val="24"/>
              <w:lang w:val="en-US" w:eastAsia="zh-CN"/>
            </w:rPr>
            <w:t>提供报关资料</w:t>
          </w:r>
          <w:r>
            <w:tab/>
          </w:r>
          <w:r>
            <w:fldChar w:fldCharType="begin"/>
          </w:r>
          <w:r>
            <w:instrText xml:space="preserve"> PAGEREF _Toc17128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_Toc14759 </w:instrText>
          </w:r>
          <w:r>
            <w:fldChar w:fldCharType="separate"/>
          </w:r>
          <w:r>
            <w:rPr>
              <w:rFonts w:hint="default"/>
              <w:szCs w:val="24"/>
              <w:lang w:val="en-US" w:eastAsia="zh-CN"/>
            </w:rPr>
            <w:t xml:space="preserve">3.4. </w:t>
          </w:r>
          <w:r>
            <w:rPr>
              <w:rFonts w:hint="eastAsia"/>
              <w:szCs w:val="24"/>
              <w:lang w:val="en-US" w:eastAsia="zh-CN"/>
            </w:rPr>
            <w:t>校对报关资料</w:t>
          </w:r>
          <w:r>
            <w:tab/>
          </w:r>
          <w:r>
            <w:fldChar w:fldCharType="begin"/>
          </w:r>
          <w:r>
            <w:instrText xml:space="preserve"> PAGEREF _Toc14759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_Toc5176 </w:instrText>
          </w:r>
          <w:r>
            <w:fldChar w:fldCharType="separate"/>
          </w:r>
          <w:r>
            <w:rPr>
              <w:rFonts w:hint="default"/>
              <w:szCs w:val="24"/>
              <w:lang w:val="en-US" w:eastAsia="zh-CN"/>
            </w:rPr>
            <w:t xml:space="preserve">3.5. </w:t>
          </w:r>
          <w:r>
            <w:rPr>
              <w:rFonts w:hint="eastAsia"/>
              <w:szCs w:val="24"/>
              <w:lang w:val="en-US" w:eastAsia="zh-CN"/>
            </w:rPr>
            <w:t>关联/更换业务单</w:t>
          </w:r>
          <w:r>
            <w:tab/>
          </w:r>
          <w:r>
            <w:fldChar w:fldCharType="begin"/>
          </w:r>
          <w:r>
            <w:instrText xml:space="preserve"> PAGEREF _Toc5176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_Toc3398 </w:instrText>
          </w:r>
          <w:r>
            <w:fldChar w:fldCharType="separate"/>
          </w:r>
          <w:r>
            <w:rPr>
              <w:rFonts w:hint="default"/>
              <w:szCs w:val="24"/>
              <w:lang w:val="en-US" w:eastAsia="zh-CN"/>
            </w:rPr>
            <w:t xml:space="preserve">3.6. </w:t>
          </w:r>
          <w:r>
            <w:rPr>
              <w:rFonts w:hint="eastAsia"/>
              <w:szCs w:val="24"/>
              <w:lang w:val="en-US" w:eastAsia="zh-CN"/>
            </w:rPr>
            <w:t>查看报关单</w:t>
          </w:r>
          <w:r>
            <w:tab/>
          </w:r>
          <w:r>
            <w:fldChar w:fldCharType="begin"/>
          </w:r>
          <w:r>
            <w:instrText xml:space="preserve"> PAGEREF _Toc3398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spacing w:line="360" w:lineRule="auto"/>
          </w:pPr>
          <w:r>
            <w:fldChar w:fldCharType="end"/>
          </w:r>
        </w:p>
      </w:sdtContent>
    </w:sdt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pStyle w:val="2"/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/>
          <w:sz w:val="28"/>
          <w:szCs w:val="28"/>
          <w:lang w:val="en-US" w:eastAsia="zh-CN"/>
        </w:rPr>
      </w:pPr>
      <w:bookmarkStart w:id="0" w:name="_Toc5704"/>
      <w:r>
        <w:rPr>
          <w:rFonts w:hint="eastAsia"/>
          <w:sz w:val="28"/>
          <w:szCs w:val="28"/>
          <w:lang w:val="en-US" w:eastAsia="zh-CN"/>
        </w:rPr>
        <w:t>注册</w:t>
      </w:r>
      <w:bookmarkEnd w:id="0"/>
    </w:p>
    <w:p>
      <w:r>
        <w:drawing>
          <wp:inline distT="0" distB="0" distL="114300" distR="114300">
            <wp:extent cx="5263515" cy="2597150"/>
            <wp:effectExtent l="0" t="0" r="13335" b="1270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没有账号需要填写</w:t>
      </w:r>
      <w:r>
        <w:rPr>
          <w:rFonts w:hint="eastAsia"/>
          <w:b/>
          <w:bCs/>
          <w:sz w:val="24"/>
          <w:szCs w:val="24"/>
          <w:lang w:val="en-US" w:eastAsia="zh-CN"/>
        </w:rPr>
        <w:t>单位名称，联系人，联系电话，密码，确认密码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2"/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/>
          <w:sz w:val="28"/>
          <w:szCs w:val="28"/>
          <w:lang w:val="en-US" w:eastAsia="zh-CN"/>
        </w:rPr>
      </w:pPr>
      <w:bookmarkStart w:id="1" w:name="_Toc5190"/>
      <w:bookmarkStart w:id="2" w:name="_注册"/>
      <w:r>
        <w:rPr>
          <w:rFonts w:hint="eastAsia"/>
          <w:sz w:val="28"/>
          <w:szCs w:val="28"/>
          <w:lang w:val="en-US" w:eastAsia="zh-CN"/>
        </w:rPr>
        <w:t>登录</w:t>
      </w:r>
      <w:bookmarkEnd w:id="1"/>
    </w:p>
    <w:p>
      <w:pPr>
        <w:rPr>
          <w:rFonts w:hint="eastAsia"/>
          <w:lang w:val="en-US" w:eastAsia="zh-CN"/>
        </w:rPr>
      </w:pPr>
      <w:r>
        <w:rPr>
          <w:rFonts w:ascii="宋体" w:hAnsi="宋体" w:eastAsia="宋体" w:cs="宋体"/>
          <w:color w:val="FF0000"/>
          <w:sz w:val="24"/>
          <w:szCs w:val="24"/>
        </w:rPr>
        <w:t>注：建议使用 Google 浏览器，打开页面时请检查页面是否被拦截</w:t>
      </w:r>
    </w:p>
    <w:p>
      <w:pPr>
        <w:spacing w:line="360" w:lineRule="auto"/>
        <w:rPr>
          <w:rFonts w:hint="eastAsia"/>
          <w:b/>
          <w:bCs/>
          <w:color w:val="0070C0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登录网址</w:t>
      </w:r>
      <w:r>
        <w:rPr>
          <w:rFonts w:hint="eastAsia"/>
          <w:b/>
          <w:bCs/>
          <w:color w:val="0070C0"/>
          <w:sz w:val="28"/>
          <w:szCs w:val="28"/>
          <w:lang w:val="en-US" w:eastAsia="zh-CN"/>
        </w:rPr>
        <w:t>https://jpgw.wqport.com/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在右侧输入 </w:t>
      </w:r>
      <w:r>
        <w:rPr>
          <w:rFonts w:hint="eastAsia"/>
          <w:b/>
          <w:bCs/>
          <w:sz w:val="24"/>
          <w:szCs w:val="24"/>
          <w:lang w:val="en-US" w:eastAsia="zh-CN"/>
        </w:rPr>
        <w:t>登录账号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密码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验证码</w:t>
      </w:r>
      <w:r>
        <w:rPr>
          <w:rFonts w:hint="eastAsia"/>
          <w:sz w:val="24"/>
          <w:szCs w:val="24"/>
          <w:lang w:val="en-US" w:eastAsia="zh-CN"/>
        </w:rPr>
        <w:t>，点击登录</w:t>
      </w:r>
    </w:p>
    <w:p>
      <w:pPr>
        <w:spacing w:line="360" w:lineRule="auto"/>
        <w:rPr>
          <w:rFonts w:hint="default"/>
          <w:b/>
          <w:bCs/>
          <w:color w:val="0070C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lang w:val="en-US" w:eastAsia="zh-CN"/>
        </w:rPr>
        <w:t>注：登录账号为您注册时的联系电话</w:t>
      </w: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如尚未开通账号，请参照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\l "_注册"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Style w:val="15"/>
          <w:rFonts w:hint="eastAsia"/>
          <w:sz w:val="24"/>
          <w:szCs w:val="24"/>
          <w:lang w:val="en-US" w:eastAsia="zh-CN"/>
        </w:rPr>
        <w:t>第2点注册</w:t>
      </w:r>
      <w:r>
        <w:rPr>
          <w:rFonts w:hint="eastAsia"/>
          <w:sz w:val="24"/>
          <w:szCs w:val="24"/>
          <w:lang w:val="en-US" w:eastAsia="zh-CN"/>
        </w:rPr>
        <w:fldChar w:fldCharType="end"/>
      </w:r>
      <w:r>
        <w:rPr>
          <w:rFonts w:hint="eastAsia"/>
          <w:sz w:val="24"/>
          <w:szCs w:val="24"/>
          <w:lang w:val="en-US" w:eastAsia="zh-CN"/>
        </w:rPr>
        <w:t>，先开通账号再登录</w:t>
      </w:r>
    </w:p>
    <w:p>
      <w:pPr>
        <w:pStyle w:val="20"/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614930"/>
            <wp:effectExtent l="0" t="0" r="13335" b="139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bookmarkStart w:id="3" w:name="_Toc29671"/>
    </w:p>
    <w:p>
      <w:pPr>
        <w:pStyle w:val="2"/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录入资料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color w:val="C00000"/>
          <w:sz w:val="24"/>
          <w:szCs w:val="24"/>
          <w:lang w:val="en-US" w:eastAsia="zh-CN"/>
        </w:rPr>
        <w:t>录入资料：</w:t>
      </w:r>
      <w:r>
        <w:rPr>
          <w:rFonts w:hint="eastAsia"/>
          <w:b w:val="0"/>
          <w:bCs w:val="0"/>
          <w:color w:val="auto"/>
          <w:sz w:val="24"/>
          <w:szCs w:val="28"/>
          <w:lang w:val="en-US" w:eastAsia="zh-CN"/>
        </w:rPr>
        <w:t>指用户录入基础报关资料，提交平台客服校对审核</w:t>
      </w:r>
    </w:p>
    <w:p>
      <w:pPr>
        <w:ind w:firstLine="420" w:firstLineChars="0"/>
        <w:rPr>
          <w:rFonts w:hint="default"/>
          <w:lang w:val="en-US" w:eastAsia="zh-CN"/>
        </w:rPr>
      </w:pPr>
    </w:p>
    <w:p>
      <w:pPr>
        <w:pStyle w:val="2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用户录入基础报关资料，提交平台客服校对审核</w:t>
      </w:r>
    </w:p>
    <w:p>
      <w:pPr>
        <w:pStyle w:val="2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第1步：关联公司为提前配置的字典数据，用于录入资料时，输入关键字可自动带出相关信息，提高录入效率。</w:t>
      </w:r>
    </w:p>
    <w:p>
      <w:pPr>
        <w:pStyle w:val="2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>
      <w:pPr>
        <w:pStyle w:val="2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1、如果使用【录入资料】功能，请先配置“关联公司”。</w:t>
      </w:r>
    </w:p>
    <w:p>
      <w:pPr>
        <w:pStyle w:val="2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2、境内发货人、境内收货人、生产销售单位、消费使用单位的公司类型，请选择“一般单位”</w:t>
      </w:r>
    </w:p>
    <w:p>
      <w:pPr>
        <w:pStyle w:val="20"/>
        <w:bidi w:val="0"/>
      </w:pPr>
      <w:r>
        <w:drawing>
          <wp:inline distT="0" distB="0" distL="114300" distR="114300">
            <wp:extent cx="5270500" cy="2734310"/>
            <wp:effectExtent l="0" t="0" r="6350" b="889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0"/>
        <w:bidi w:val="0"/>
      </w:pPr>
    </w:p>
    <w:p>
      <w:pPr>
        <w:pStyle w:val="2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发起电子委托</w:t>
      </w:r>
    </w:p>
    <w:p>
      <w:pPr>
        <w:pStyle w:val="20"/>
        <w:bidi w:val="0"/>
      </w:pPr>
      <w:r>
        <w:drawing>
          <wp:inline distT="0" distB="0" distL="114300" distR="114300">
            <wp:extent cx="5272405" cy="2722245"/>
            <wp:effectExtent l="0" t="0" r="4445" b="190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选取已经录好的关联公司，点击“发起委托”，电子委托是‘自动确认’、‘逐票确认’、‘逐票委托’，发起后关务客服会进行审核。</w:t>
      </w:r>
    </w:p>
    <w:p>
      <w:pPr>
        <w:pStyle w:val="20"/>
        <w:bidi w:val="0"/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忘记进行委托的也可以在“报关单列表”点击填写好的报关单，发起委托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523490"/>
            <wp:effectExtent l="0" t="0" r="7620" b="1016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关务申报（录入）</w:t>
      </w:r>
      <w:bookmarkEnd w:id="3"/>
    </w:p>
    <w:p>
      <w:pPr>
        <w:pStyle w:val="3"/>
        <w:numPr>
          <w:ilvl w:val="1"/>
          <w:numId w:val="1"/>
        </w:numPr>
        <w:bidi w:val="0"/>
        <w:ind w:left="567" w:leftChars="0" w:hanging="567" w:firstLineChars="0"/>
        <w:rPr>
          <w:rFonts w:hint="eastAsia"/>
          <w:sz w:val="24"/>
          <w:szCs w:val="24"/>
          <w:lang w:val="en-US" w:eastAsia="zh-CN"/>
        </w:rPr>
      </w:pPr>
      <w:bookmarkStart w:id="4" w:name="_Toc5667"/>
      <w:r>
        <w:rPr>
          <w:rFonts w:hint="eastAsia"/>
          <w:sz w:val="24"/>
          <w:szCs w:val="24"/>
          <w:lang w:val="en-US" w:eastAsia="zh-CN"/>
        </w:rPr>
        <w:t>委托单列表</w:t>
      </w:r>
      <w:bookmarkEnd w:id="4"/>
    </w:p>
    <w:p>
      <w:pPr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</w:t>
      </w:r>
      <w:r>
        <w:rPr>
          <w:rFonts w:hint="eastAsia"/>
          <w:sz w:val="24"/>
          <w:szCs w:val="28"/>
          <w:lang w:val="en-US" w:eastAsia="zh-CN"/>
        </w:rPr>
        <w:t>菜单【报关单列表】，打开页面，显示当前所有的委托单列表。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2679700"/>
            <wp:effectExtent l="0" t="0" r="8255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sz w:val="24"/>
          <w:szCs w:val="24"/>
          <w:lang w:val="en-US" w:eastAsia="zh-CN"/>
        </w:rPr>
      </w:pPr>
      <w:bookmarkStart w:id="5" w:name="_Toc16960"/>
      <w:r>
        <w:rPr>
          <w:rFonts w:hint="eastAsia"/>
          <w:sz w:val="24"/>
          <w:szCs w:val="24"/>
          <w:lang w:val="en-US" w:eastAsia="zh-CN"/>
        </w:rPr>
        <w:t>新建委托单</w:t>
      </w:r>
      <w:bookmarkEnd w:id="5"/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点击“报关资料录入”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录入需要报关的PO号，录入后点击确认，会自动带出当前PO的货物类型，已经对应报关单的录入界面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例：</w:t>
      </w:r>
    </w:p>
    <w:p>
      <w:pPr>
        <w:spacing w:line="360" w:lineRule="auto"/>
      </w:pPr>
      <w:r>
        <w:drawing>
          <wp:inline distT="0" distB="0" distL="114300" distR="114300">
            <wp:extent cx="5271770" cy="2621280"/>
            <wp:effectExtent l="0" t="0" r="5080" b="762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报关信息填写：</w:t>
      </w:r>
    </w:p>
    <w:p>
      <w:pPr>
        <w:pStyle w:val="24"/>
        <w:bidi w:val="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【是否</w:t>
      </w:r>
      <w:bookmarkStart w:id="6" w:name="OLE_LINK1"/>
      <w:r>
        <w:rPr>
          <w:rFonts w:ascii="宋体" w:hAnsi="宋体" w:eastAsia="宋体" w:cs="宋体"/>
          <w:sz w:val="24"/>
          <w:szCs w:val="24"/>
        </w:rPr>
        <w:t>退税</w:t>
      </w:r>
      <w:bookmarkEnd w:id="6"/>
      <w:r>
        <w:rPr>
          <w:rFonts w:ascii="宋体" w:hAnsi="宋体" w:eastAsia="宋体" w:cs="宋体"/>
          <w:sz w:val="24"/>
          <w:szCs w:val="24"/>
        </w:rPr>
        <w:t>】是否退税按实际情况录入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pStyle w:val="24"/>
        <w:bidi w:val="0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联系电话</w:t>
      </w:r>
      <w:r>
        <w:rPr>
          <w:rFonts w:ascii="宋体" w:hAnsi="宋体" w:eastAsia="宋体" w:cs="宋体"/>
          <w:sz w:val="24"/>
          <w:szCs w:val="24"/>
        </w:rPr>
        <w:t>】</w:t>
      </w:r>
      <w:r>
        <w:rPr>
          <w:rFonts w:hint="eastAsia"/>
          <w:lang w:val="en-US" w:eastAsia="zh-CN"/>
        </w:rPr>
        <w:t>联系电话填写。</w:t>
      </w:r>
    </w:p>
    <w:p>
      <w:pPr>
        <w:pStyle w:val="24"/>
        <w:bidi w:val="0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</w:t>
      </w:r>
      <w:r>
        <w:rPr>
          <w:rFonts w:hint="eastAsia" w:ascii="宋体" w:hAnsi="宋体" w:cs="宋体"/>
          <w:sz w:val="24"/>
          <w:szCs w:val="24"/>
          <w:lang w:val="en-US" w:eastAsia="zh-CN"/>
        </w:rPr>
        <w:t>PO单号</w:t>
      </w:r>
      <w:r>
        <w:rPr>
          <w:rFonts w:ascii="宋体" w:hAnsi="宋体" w:eastAsia="宋体" w:cs="宋体"/>
          <w:sz w:val="24"/>
          <w:szCs w:val="24"/>
        </w:rPr>
        <w:t>】</w:t>
      </w:r>
      <w:r>
        <w:rPr>
          <w:rFonts w:hint="eastAsia"/>
          <w:lang w:val="en-US" w:eastAsia="zh-CN"/>
        </w:rPr>
        <w:t>下面PO号录入报关件数，此为收货件数。</w:t>
      </w:r>
    </w:p>
    <w:p>
      <w:pPr>
        <w:pStyle w:val="2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点击新增是进行多PO合单一起申报。</w:t>
      </w:r>
    </w:p>
    <w:p>
      <w:pPr>
        <w:pStyle w:val="24"/>
        <w:bidi w:val="0"/>
        <w:ind w:left="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【境内收发货人】填报在海关备案的对外签订并执行进出口贸易合同的中国境内法人、其他组织名称及编码。编码填报18 位法人和其他组织统一社会信用代码；</w:t>
      </w:r>
    </w:p>
    <w:p>
      <w:pPr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【生产销售单位】填写实际生产销售单位的 18 位法人和其他组织统一社会信用代码和企业名称（在填写境内收发货人时 会默认带出与其一致的生产销售单位，若申报非同一公司，可自行修改）；</w:t>
      </w:r>
    </w:p>
    <w:p>
      <w:pPr>
        <w:ind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【境外收发货人】填写签订并执行出口贸易合同中的买方或合同指定的收货人，企业海关名称可填报中文或外文名称， 对于AEO 互认国家（地区）企业的，“境外收发货人代码”填报 AEO 编码，非互认国家（地区）AEO 企业，编码免于填报；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【包装种类】填写实际的外包装种类，如纸制或纤维板制盒/箱、木制或竹藤等植物性材料制盒/箱等；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【件数】录入该PO 本次申报对应的报关件数，须与报关单明细的汇总箱数保持一致；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【毛重、净重】填写该项产品实际的毛、净重；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【监管方式】根据实际情况填报仓转仓对应的监管方式；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监管方式、征免性质、成交方式、成交币制、征免、是否退税按实际情况录入；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【贸易国（地区）】出口填报售予国（地区）；</w:t>
      </w:r>
    </w:p>
    <w:p>
      <w:pPr>
        <w:ind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【商品名称】请按海关规范申报，不可只录入汽车配件或不锈钢制品等，需申报具体名称；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【规格型号】填制规范： 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关于品牌申报都需要在申报要素的“品牌栏”或者“其他”栏填报，例如：申报要素品牌栏：填制“ABC”牌，无品牌则填 制“无品牌”，如果申报要素不需要品牌，需在其他栏注明“ABC”牌或者“无品牌”；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型号、款号或者其他类似要素，需要全部体现在要素栏，不能申报如 A/B/C 等型号或者A/B/C 等款号，如果类似要素的字 符过多，则建议分开多几项申报，把型号、款号或其他类似要素分开填制在多项商品信息对应的要素栏。如果商品无型号 则填制无型号，类似要素同理。（每一项商品信息的要素栏不能超过 255 个字节 2 字节=1 汉字）；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用途需注明具体用途，如充电器用途不能写“充电用”应该填制具体用途“用于手机充电用”或者“手机、相机等电子产品 用”；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成分需注明各种物质的百分比且百分比相加等于 100%，不同成分的产品需分项申报；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【境内货源地】根据产品实际的生产地填写(地级市),每一项报关明细可以分别选择不同的货 源地；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【商品编码】输入准确的十位海关编码可以带出对应的申报要素和法定计量单位；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【最终目的国】【成交币制】根据实际情况填写；</w:t>
      </w:r>
    </w:p>
    <w:p>
      <w:pPr>
        <w:spacing w:line="360" w:lineRule="auto"/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5266055" cy="2642870"/>
            <wp:effectExtent l="0" t="0" r="10795" b="508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根据信息填写报关单</w:t>
      </w:r>
    </w:p>
    <w:p>
      <w:pPr>
        <w:spacing w:line="360" w:lineRule="auto"/>
        <w:rPr>
          <w:rFonts w:hint="default"/>
          <w:b w:val="0"/>
          <w:bCs w:val="0"/>
          <w:color w:val="auto"/>
          <w:sz w:val="24"/>
          <w:szCs w:val="28"/>
          <w:lang w:val="en-US" w:eastAsia="zh-CN"/>
        </w:rPr>
      </w:pP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第2步：点击 “报关资料录入”</w:t>
      </w:r>
    </w:p>
    <w:p>
      <w:pPr>
        <w:spacing w:line="360" w:lineRule="auto"/>
        <w:rPr>
          <w:rFonts w:hint="default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第3步：在此页面录入资料，其中带*号为必填项。如未填写则保存时报错。</w:t>
      </w:r>
    </w:p>
    <w:p>
      <w:pPr>
        <w:spacing w:line="360" w:lineRule="auto"/>
      </w:pPr>
      <w:r>
        <w:drawing>
          <wp:inline distT="0" distB="0" distL="114300" distR="114300">
            <wp:extent cx="5269865" cy="2713355"/>
            <wp:effectExtent l="0" t="0" r="698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/>
          <w:lang w:val="en-US" w:eastAsia="zh-CN"/>
        </w:rPr>
      </w:pPr>
    </w:p>
    <w:p>
      <w:pPr>
        <w:spacing w:line="360" w:lineRule="auto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报关信息填写：</w:t>
      </w:r>
    </w:p>
    <w:p>
      <w:pPr>
        <w:pStyle w:val="24"/>
        <w:bidi w:val="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【是否退税】是否退税按实际情况录入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pStyle w:val="24"/>
        <w:bidi w:val="0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联系电话</w:t>
      </w:r>
      <w:r>
        <w:rPr>
          <w:rFonts w:ascii="宋体" w:hAnsi="宋体" w:eastAsia="宋体" w:cs="宋体"/>
          <w:sz w:val="24"/>
          <w:szCs w:val="24"/>
        </w:rPr>
        <w:t>】</w:t>
      </w:r>
      <w:r>
        <w:rPr>
          <w:rFonts w:hint="eastAsia"/>
          <w:lang w:val="en-US" w:eastAsia="zh-CN"/>
        </w:rPr>
        <w:t>联系电话填写。</w:t>
      </w:r>
    </w:p>
    <w:p>
      <w:pPr>
        <w:pStyle w:val="24"/>
        <w:bidi w:val="0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</w:t>
      </w:r>
      <w:r>
        <w:rPr>
          <w:rFonts w:hint="eastAsia" w:ascii="宋体" w:hAnsi="宋体" w:cs="宋体"/>
          <w:sz w:val="24"/>
          <w:szCs w:val="24"/>
          <w:lang w:val="en-US" w:eastAsia="zh-CN"/>
        </w:rPr>
        <w:t>PO单号</w:t>
      </w:r>
      <w:r>
        <w:rPr>
          <w:rFonts w:ascii="宋体" w:hAnsi="宋体" w:eastAsia="宋体" w:cs="宋体"/>
          <w:sz w:val="24"/>
          <w:szCs w:val="24"/>
        </w:rPr>
        <w:t>】</w:t>
      </w:r>
      <w:r>
        <w:rPr>
          <w:rFonts w:hint="eastAsia"/>
          <w:lang w:val="en-US" w:eastAsia="zh-CN"/>
        </w:rPr>
        <w:t>下面PO号录入报关件数，此为收货件数。</w:t>
      </w:r>
    </w:p>
    <w:p>
      <w:pPr>
        <w:pStyle w:val="2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点击新增是进行多PO合单一起申报。</w:t>
      </w:r>
    </w:p>
    <w:p>
      <w:pPr>
        <w:pStyle w:val="24"/>
        <w:bidi w:val="0"/>
        <w:ind w:left="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【境内收发货人】填报在海关备案的对外签订并执行进出口贸易合同的中国境内法人、其他组织名称及编码。编码填报18 位法人和其他组织统一社会信用代码；</w:t>
      </w:r>
    </w:p>
    <w:p>
      <w:pPr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【生产销售单位】填写实际生产销售单位的 18 位法人和其他组织统一社会信用代码和企业名称（在填写境内收发货人时 会默认带出与其一致的生产销售单位，若申报非同一公司，可自行修改）；</w:t>
      </w:r>
    </w:p>
    <w:p>
      <w:pPr>
        <w:ind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【境外收发货人】填写签订并执行出口贸易合同中的买方或合同指定的收货人，企业海关名称可填报中文或外文名称， 对于AEO 互认国家（地区）企业的，“境外收发货人代码”填报 AEO 编码，非互认国家（地区）AEO 企业，编码免于填报；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【包装种类】填写实际的外包装种类，如纸制或纤维板制盒/箱、木制或竹藤等植物性材料制盒/箱等；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【件数】录入该PO 本次申报对应的报关件数，须与报关单明细的汇总箱数保持一致；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【毛重、净重】填写该项产品实际的毛、净重；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【监管方式】根据实际情况填报仓转仓对应的监管方式；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监管方式、征免性质、成交方式、成交币制、征免、是否退税按实际情况录入；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【贸易国（地区）】出口填报售予国（地区）；</w:t>
      </w:r>
    </w:p>
    <w:p>
      <w:pPr>
        <w:ind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【商品名称】请按海关规范申报，不可只录入汽车配件或不锈钢制品等，需申报具体名称；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【规格型号】填制规范： 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关于品牌申报都需要在申报要素的“品牌栏”或者“其他”栏填报，例如：申报要素品牌栏：填制“ABC”牌，无品牌则填 制“无品牌”，如果申报要素不需要品牌，需在其他栏注明“ABC”牌或者“无品牌”；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型号、款号或者其他类似要素，需要全部体现在要素栏，不能申报如 A/B/C 等型号或者A/B/C 等款号，如果类似要素的字 符过多，则建议分开多几项申报，把型号、款号或其他类似要素分开填制在多项商品信息对应的要素栏。如果商品无型号 则填制无型号，类似要素同理。（每一项商品信息的要素栏不能超过 255 个字节 2 字节=1 汉字）；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用途需注明具体用途，如充电器用途不能写“充电用”应该填制具体用途“用于手机充电用”或者“手机、相机等电子产品 用”；</w:t>
      </w:r>
    </w:p>
    <w:p>
      <w:pPr>
        <w:numPr>
          <w:ilvl w:val="0"/>
          <w:numId w:val="3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成分需注明各种物质的百分比且百分比相加等于 100%，不同成分的产品需分项申报；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【境内货源地】根据产品实际的生产地填写(地级市),每一项报关明细可以分别选择不同的货 源地；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【商品编码】输入准确的十位海关编码可以带出对应的申报要素和法定计量单位；</w:t>
      </w:r>
    </w:p>
    <w:p>
      <w:p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【最终目的国】【成交币制】根据实际情况填写；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第4步：提交资料。选中报关单，点击</w:t>
      </w:r>
      <w:r>
        <w:rPr>
          <w:rFonts w:hint="eastAsia"/>
          <w:b/>
          <w:bCs/>
          <w:color w:val="0070C0"/>
          <w:sz w:val="24"/>
          <w:szCs w:val="24"/>
          <w:lang w:val="en-US" w:eastAsia="zh-CN"/>
        </w:rPr>
        <w:t>【提交】</w:t>
      </w:r>
      <w:r>
        <w:rPr>
          <w:rFonts w:hint="eastAsia"/>
          <w:sz w:val="24"/>
          <w:szCs w:val="24"/>
          <w:lang w:val="en-US" w:eastAsia="zh-CN"/>
        </w:rPr>
        <w:t>，确定后提交到客服/报关员校对审核。</w:t>
      </w:r>
    </w:p>
    <w:p>
      <w:pPr>
        <w:spacing w:line="360" w:lineRule="auto"/>
      </w:pPr>
      <w:r>
        <w:drawing>
          <wp:inline distT="0" distB="0" distL="114300" distR="114300">
            <wp:extent cx="5267325" cy="2663825"/>
            <wp:effectExtent l="0" t="0" r="9525" b="317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bidi w:val="0"/>
        <w:ind w:left="709" w:leftChars="0" w:hanging="709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报关单状态</w:t>
      </w:r>
    </w:p>
    <w:p>
      <w:pPr>
        <w:ind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提交报关单后，报关单是待审核状态，由我们的关务人员负责审核和校队报关单，如果报关资料缺失或者是错误的，客服会退回报关单，并且会有留言备注，并且短信通知。</w:t>
      </w:r>
    </w:p>
    <w:p>
      <w:pPr>
        <w:ind w:firstLine="420" w:firstLineChars="0"/>
      </w:pPr>
      <w:r>
        <w:drawing>
          <wp:inline distT="0" distB="0" distL="114300" distR="114300">
            <wp:extent cx="5264150" cy="690245"/>
            <wp:effectExtent l="0" t="0" r="12700" b="1460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存疑或者不是太清楚可以在留言上填写，关务人员看到后会及时回复，如果紧急可以拨打单证客服电话。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报关单没有问题后，客服和提交报关单，届时报关单的状态为完成，海关状态为申报中。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申报完成后，海关状态会发生改变（放行或结关）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海关状态结关或放行状态下</w:t>
      </w:r>
    </w:p>
    <w:p>
      <w:pPr>
        <w:ind w:firstLine="420" w:firstLineChars="0"/>
      </w:pPr>
      <w:r>
        <w:drawing>
          <wp:inline distT="0" distB="0" distL="114300" distR="114300">
            <wp:extent cx="5271135" cy="2580640"/>
            <wp:effectExtent l="0" t="0" r="5715" b="1016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可以下载报关单、放行通知书、核注清单等 </w:t>
      </w:r>
    </w:p>
    <w:p>
      <w:pPr>
        <w:ind w:firstLine="420" w:firstLineChars="0"/>
        <w:rPr>
          <w:rFonts w:hint="default"/>
          <w:lang w:val="en-US" w:eastAsia="zh-CN"/>
        </w:rPr>
      </w:pPr>
    </w:p>
    <w:p>
      <w:pPr>
        <w:spacing w:line="360" w:lineRule="auto"/>
      </w:pPr>
      <w:bookmarkStart w:id="13" w:name="_GoBack"/>
      <w:bookmarkEnd w:id="13"/>
    </w:p>
    <w:p>
      <w:pPr>
        <w:spacing w:line="360" w:lineRule="auto"/>
      </w:pPr>
    </w:p>
    <w:p>
      <w:pPr>
        <w:pStyle w:val="3"/>
        <w:numPr>
          <w:ilvl w:val="1"/>
          <w:numId w:val="1"/>
        </w:numPr>
        <w:bidi w:val="0"/>
        <w:spacing w:line="360" w:lineRule="auto"/>
        <w:ind w:left="567" w:leftChars="0" w:hanging="567" w:firstLineChars="0"/>
        <w:rPr>
          <w:rFonts w:hint="eastAsia"/>
          <w:sz w:val="24"/>
          <w:szCs w:val="24"/>
          <w:lang w:val="en-US" w:eastAsia="zh-CN"/>
        </w:rPr>
      </w:pPr>
      <w:bookmarkStart w:id="7" w:name="_Toc14759"/>
      <w:bookmarkStart w:id="8" w:name="_Toc6055"/>
      <w:r>
        <w:rPr>
          <w:rFonts w:hint="eastAsia"/>
          <w:sz w:val="24"/>
          <w:szCs w:val="24"/>
          <w:lang w:val="en-US" w:eastAsia="zh-CN"/>
        </w:rPr>
        <w:t>校对报关资料</w:t>
      </w:r>
      <w:bookmarkEnd w:id="7"/>
      <w:bookmarkEnd w:id="8"/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提交委托单后，由客服/报关员根据上传的文件或已录入的资料，进行校对。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客户校对完成后，生成校对单。用户可点击</w:t>
      </w:r>
      <w:r>
        <w:rPr>
          <w:rFonts w:hint="eastAsia"/>
          <w:b/>
          <w:bCs/>
          <w:color w:val="0070C0"/>
          <w:sz w:val="24"/>
          <w:szCs w:val="24"/>
          <w:lang w:val="en-US" w:eastAsia="zh-CN"/>
        </w:rPr>
        <w:t>【下载校对单】</w:t>
      </w:r>
      <w:r>
        <w:rPr>
          <w:rFonts w:hint="eastAsia"/>
          <w:sz w:val="24"/>
          <w:szCs w:val="24"/>
          <w:lang w:val="en-US" w:eastAsia="zh-CN"/>
        </w:rPr>
        <w:t>查看。</w:t>
      </w:r>
    </w:p>
    <w:p>
      <w:pPr>
        <w:rPr>
          <w:rFonts w:hint="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1167765"/>
            <wp:effectExtent l="0" t="0" r="635" b="3810"/>
            <wp:docPr id="6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如果校对单有误，用户可与客服沟通，补充相应资料或更正，重新生成校对单。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如果校对单正确，则点击【确认已校对】。此时状态变为：</w:t>
      </w:r>
      <w:r>
        <w:rPr>
          <w:rFonts w:hint="eastAsia"/>
          <w:b/>
          <w:bCs/>
          <w:color w:val="0070C0"/>
          <w:sz w:val="24"/>
          <w:szCs w:val="24"/>
          <w:lang w:val="en-US" w:eastAsia="zh-CN"/>
        </w:rPr>
        <w:t>已校对</w:t>
      </w:r>
    </w:p>
    <w:p>
      <w:pPr>
        <w:numPr>
          <w:ilvl w:val="0"/>
          <w:numId w:val="0"/>
        </w:numPr>
        <w:spacing w:line="360" w:lineRule="auto"/>
        <w:ind w:leftChars="0"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lang w:val="en-US" w:eastAsia="zh-CN"/>
        </w:rPr>
        <w:t>已校对状态时，用户不可再做任何改动。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</w:p>
    <w:p>
      <w:pPr>
        <w:pStyle w:val="3"/>
        <w:numPr>
          <w:ilvl w:val="1"/>
          <w:numId w:val="1"/>
        </w:numPr>
        <w:bidi w:val="0"/>
        <w:spacing w:line="360" w:lineRule="auto"/>
        <w:ind w:left="567" w:leftChars="0" w:hanging="567" w:firstLineChars="0"/>
        <w:rPr>
          <w:rFonts w:hint="default"/>
          <w:sz w:val="24"/>
          <w:szCs w:val="24"/>
          <w:lang w:val="en-US" w:eastAsia="zh-CN"/>
        </w:rPr>
      </w:pPr>
      <w:bookmarkStart w:id="9" w:name="_Toc23654"/>
      <w:bookmarkStart w:id="10" w:name="_Toc5176"/>
      <w:r>
        <w:rPr>
          <w:rFonts w:hint="eastAsia"/>
          <w:sz w:val="24"/>
          <w:szCs w:val="24"/>
          <w:lang w:val="en-US" w:eastAsia="zh-CN"/>
        </w:rPr>
        <w:t>关联/更换业务单</w:t>
      </w:r>
      <w:bookmarkEnd w:id="9"/>
      <w:bookmarkEnd w:id="10"/>
    </w:p>
    <w:p>
      <w:pPr>
        <w:spacing w:line="360" w:lineRule="auto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业务单指：入仓/出仓计划单号、PO号。</w:t>
      </w:r>
    </w:p>
    <w:p>
      <w:pPr>
        <w:spacing w:line="360" w:lineRule="auto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如果录入错误或者前期未录入，可通过关联/更换业务单功能进行修正。</w:t>
      </w:r>
    </w:p>
    <w:p>
      <w:pPr>
        <w:spacing w:line="360" w:lineRule="auto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注：已校对状态的委托单，不允许更换。</w:t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未录入计划单号的，点击</w:t>
      </w:r>
      <w:r>
        <w:rPr>
          <w:rFonts w:hint="eastAsia"/>
          <w:b/>
          <w:bCs/>
          <w:color w:val="0070C0"/>
          <w:sz w:val="24"/>
          <w:szCs w:val="28"/>
          <w:lang w:val="en-US" w:eastAsia="zh-CN"/>
        </w:rPr>
        <w:t>【关联业务单】</w:t>
      </w:r>
      <w:r>
        <w:rPr>
          <w:rFonts w:hint="eastAsia"/>
          <w:sz w:val="24"/>
          <w:szCs w:val="28"/>
          <w:lang w:val="en-US" w:eastAsia="zh-CN"/>
        </w:rPr>
        <w:t>，弹窗补充后，点</w:t>
      </w:r>
      <w:r>
        <w:rPr>
          <w:rFonts w:hint="eastAsia"/>
          <w:b/>
          <w:bCs/>
          <w:color w:val="0070C0"/>
          <w:sz w:val="24"/>
          <w:szCs w:val="28"/>
          <w:lang w:val="en-US" w:eastAsia="zh-CN"/>
        </w:rPr>
        <w:t>【关联】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66055" cy="1621155"/>
            <wp:effectExtent l="0" t="0" r="1270" b="7620"/>
            <wp:docPr id="7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8"/>
          <w:lang w:val="en-US" w:eastAsia="zh-CN"/>
        </w:rPr>
        <w:t>已录入计划单号的，点击</w:t>
      </w:r>
      <w:r>
        <w:rPr>
          <w:rFonts w:hint="eastAsia"/>
          <w:b/>
          <w:bCs/>
          <w:color w:val="0070C0"/>
          <w:sz w:val="24"/>
          <w:szCs w:val="28"/>
          <w:lang w:val="en-US" w:eastAsia="zh-CN"/>
        </w:rPr>
        <w:t>【更换业务单】</w:t>
      </w:r>
      <w:r>
        <w:rPr>
          <w:rFonts w:hint="eastAsia"/>
          <w:sz w:val="24"/>
          <w:szCs w:val="28"/>
          <w:lang w:val="en-US" w:eastAsia="zh-CN"/>
        </w:rPr>
        <w:t>，弹窗补充后，点</w:t>
      </w:r>
      <w:r>
        <w:rPr>
          <w:rFonts w:hint="eastAsia"/>
          <w:b/>
          <w:bCs/>
          <w:color w:val="0070C0"/>
          <w:sz w:val="24"/>
          <w:szCs w:val="28"/>
          <w:lang w:val="en-US" w:eastAsia="zh-CN"/>
        </w:rPr>
        <w:t>【更换】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65420" cy="2430780"/>
            <wp:effectExtent l="0" t="0" r="1905" b="7620"/>
            <wp:docPr id="6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3"/>
        <w:numPr>
          <w:ilvl w:val="1"/>
          <w:numId w:val="1"/>
        </w:numPr>
        <w:bidi w:val="0"/>
        <w:spacing w:line="360" w:lineRule="auto"/>
        <w:ind w:left="567" w:leftChars="0" w:hanging="567" w:firstLineChars="0"/>
        <w:rPr>
          <w:rFonts w:hint="default"/>
          <w:sz w:val="24"/>
          <w:szCs w:val="24"/>
          <w:lang w:val="en-US" w:eastAsia="zh-CN"/>
        </w:rPr>
      </w:pPr>
      <w:bookmarkStart w:id="11" w:name="_Toc3398"/>
      <w:bookmarkStart w:id="12" w:name="_Toc18603"/>
      <w:r>
        <w:rPr>
          <w:rFonts w:hint="eastAsia"/>
          <w:sz w:val="24"/>
          <w:szCs w:val="24"/>
          <w:lang w:val="en-US" w:eastAsia="zh-CN"/>
        </w:rPr>
        <w:t>查看报关单</w:t>
      </w:r>
      <w:bookmarkEnd w:id="11"/>
      <w:bookmarkEnd w:id="12"/>
    </w:p>
    <w:p>
      <w:pPr>
        <w:spacing w:line="360" w:lineRule="auto"/>
        <w:ind w:firstLine="420" w:firstLineChars="0"/>
        <w:rPr>
          <w:rFonts w:hint="default"/>
          <w:b/>
          <w:bCs/>
          <w:color w:val="0070C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客服/报关员推送已校对的委托单到海关系统，则状态变为：已申报。用户可点击</w:t>
      </w:r>
      <w:r>
        <w:rPr>
          <w:rFonts w:hint="eastAsia"/>
          <w:b/>
          <w:bCs/>
          <w:color w:val="0070C0"/>
          <w:sz w:val="24"/>
          <w:szCs w:val="24"/>
          <w:lang w:val="en-US" w:eastAsia="zh-CN"/>
        </w:rPr>
        <w:t>【查看报关单详情】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查看报关单</w:t>
      </w:r>
    </w:p>
    <w:p>
      <w:pPr>
        <w:spacing w:line="360" w:lineRule="auto"/>
        <w:ind w:firstLine="420" w:firstLineChars="0"/>
        <w:jc w:val="left"/>
        <w:rPr>
          <w:rFonts w:hint="default"/>
          <w:b/>
          <w:bCs/>
          <w:color w:val="0070C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0500" cy="1840230"/>
            <wp:effectExtent l="0" t="0" r="6350" b="762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color w:val="C00000"/>
          <w:sz w:val="24"/>
          <w:szCs w:val="24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/>
      </w:rPr>
      <w:t>第</w:t>
    </w:r>
    <w:sdt>
      <w:sdtPr>
        <w:id w:val="-1940671041"/>
        <w:docPartObj>
          <w:docPartGallery w:val="autotext"/>
        </w:docPartObj>
      </w:sdtPr>
      <w:sdtContent>
        <w:sdt>
          <w:sdtPr>
            <w:id w:val="-1307309051"/>
            <w:docPartObj>
              <w:docPartGallery w:val="autotext"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>页，共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  <w:r>
          <w:rPr>
            <w:rFonts w:hint="eastAsia"/>
          </w:rPr>
          <w:t xml:space="preserve"> 页</w:t>
        </w:r>
      </w:sdtContent>
    </w:sdt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操作指引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D292F"/>
    <w:multiLevelType w:val="multilevel"/>
    <w:tmpl w:val="80FD292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F7324F8B"/>
    <w:multiLevelType w:val="singleLevel"/>
    <w:tmpl w:val="F7324F8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117C1E4B"/>
    <w:multiLevelType w:val="singleLevel"/>
    <w:tmpl w:val="117C1E4B"/>
    <w:lvl w:ilvl="0" w:tentative="0">
      <w:start w:val="1"/>
      <w:numFmt w:val="lowerLetter"/>
      <w:suff w:val="space"/>
      <w:lvlText w:val="%1）"/>
      <w:lvlJc w:val="left"/>
    </w:lvl>
  </w:abstractNum>
  <w:abstractNum w:abstractNumId="3">
    <w:nsid w:val="4AD82663"/>
    <w:multiLevelType w:val="singleLevel"/>
    <w:tmpl w:val="4AD8266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7F98B04C"/>
    <w:multiLevelType w:val="singleLevel"/>
    <w:tmpl w:val="7F98B04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1Y2JjMzMyNTM3YjVmOTVlOTg4ZTc4MTZmM2I4NzIifQ=="/>
  </w:docVars>
  <w:rsids>
    <w:rsidRoot w:val="00C503D2"/>
    <w:rsid w:val="00014DD6"/>
    <w:rsid w:val="0002762C"/>
    <w:rsid w:val="00031AF8"/>
    <w:rsid w:val="0003455E"/>
    <w:rsid w:val="0004187D"/>
    <w:rsid w:val="00053CF9"/>
    <w:rsid w:val="0005415A"/>
    <w:rsid w:val="0007660F"/>
    <w:rsid w:val="00077730"/>
    <w:rsid w:val="00090F89"/>
    <w:rsid w:val="0009165A"/>
    <w:rsid w:val="000966AE"/>
    <w:rsid w:val="00096C30"/>
    <w:rsid w:val="000B1193"/>
    <w:rsid w:val="000B15A1"/>
    <w:rsid w:val="000D0FF1"/>
    <w:rsid w:val="000D6E59"/>
    <w:rsid w:val="000E26DF"/>
    <w:rsid w:val="000F70B4"/>
    <w:rsid w:val="00112E58"/>
    <w:rsid w:val="00123C87"/>
    <w:rsid w:val="001308E5"/>
    <w:rsid w:val="0015123B"/>
    <w:rsid w:val="001652B5"/>
    <w:rsid w:val="001677A3"/>
    <w:rsid w:val="00181850"/>
    <w:rsid w:val="00183CED"/>
    <w:rsid w:val="001A062A"/>
    <w:rsid w:val="001B31D9"/>
    <w:rsid w:val="001B4A52"/>
    <w:rsid w:val="001C26B2"/>
    <w:rsid w:val="001C2F2E"/>
    <w:rsid w:val="001D4ACC"/>
    <w:rsid w:val="001E2DB2"/>
    <w:rsid w:val="001E728C"/>
    <w:rsid w:val="001F0281"/>
    <w:rsid w:val="002059AA"/>
    <w:rsid w:val="002079E4"/>
    <w:rsid w:val="00211712"/>
    <w:rsid w:val="00214921"/>
    <w:rsid w:val="00216282"/>
    <w:rsid w:val="00216D3C"/>
    <w:rsid w:val="00225223"/>
    <w:rsid w:val="00227314"/>
    <w:rsid w:val="0024309D"/>
    <w:rsid w:val="00246429"/>
    <w:rsid w:val="002469BF"/>
    <w:rsid w:val="002526BD"/>
    <w:rsid w:val="00262B25"/>
    <w:rsid w:val="00275A48"/>
    <w:rsid w:val="00275FCA"/>
    <w:rsid w:val="00292152"/>
    <w:rsid w:val="002A4983"/>
    <w:rsid w:val="002A4DCE"/>
    <w:rsid w:val="002B459E"/>
    <w:rsid w:val="002C009C"/>
    <w:rsid w:val="002C0A8C"/>
    <w:rsid w:val="002C4481"/>
    <w:rsid w:val="002C6E0C"/>
    <w:rsid w:val="002D35BD"/>
    <w:rsid w:val="002E4562"/>
    <w:rsid w:val="002F16CB"/>
    <w:rsid w:val="002F556A"/>
    <w:rsid w:val="002F5D6A"/>
    <w:rsid w:val="002F7E40"/>
    <w:rsid w:val="00302BAC"/>
    <w:rsid w:val="00332B4D"/>
    <w:rsid w:val="00345A89"/>
    <w:rsid w:val="00350B12"/>
    <w:rsid w:val="00354E7B"/>
    <w:rsid w:val="003558F4"/>
    <w:rsid w:val="00363EDD"/>
    <w:rsid w:val="00365E40"/>
    <w:rsid w:val="00373F2D"/>
    <w:rsid w:val="00384876"/>
    <w:rsid w:val="00394FC6"/>
    <w:rsid w:val="00397889"/>
    <w:rsid w:val="003A5E83"/>
    <w:rsid w:val="003A6D03"/>
    <w:rsid w:val="003A7F06"/>
    <w:rsid w:val="003B5DF5"/>
    <w:rsid w:val="003C214B"/>
    <w:rsid w:val="003C54AB"/>
    <w:rsid w:val="003C5D11"/>
    <w:rsid w:val="003D354A"/>
    <w:rsid w:val="003D792C"/>
    <w:rsid w:val="003E7895"/>
    <w:rsid w:val="00405363"/>
    <w:rsid w:val="00412912"/>
    <w:rsid w:val="004148E0"/>
    <w:rsid w:val="004210C3"/>
    <w:rsid w:val="0042610F"/>
    <w:rsid w:val="00426749"/>
    <w:rsid w:val="004416D6"/>
    <w:rsid w:val="004432D0"/>
    <w:rsid w:val="004571BB"/>
    <w:rsid w:val="00460B89"/>
    <w:rsid w:val="00461CA2"/>
    <w:rsid w:val="004677E7"/>
    <w:rsid w:val="004770AD"/>
    <w:rsid w:val="004902C3"/>
    <w:rsid w:val="00494ED9"/>
    <w:rsid w:val="004962B1"/>
    <w:rsid w:val="004A34A2"/>
    <w:rsid w:val="004B2D76"/>
    <w:rsid w:val="004B76C3"/>
    <w:rsid w:val="004C790E"/>
    <w:rsid w:val="004D2285"/>
    <w:rsid w:val="004D4E17"/>
    <w:rsid w:val="004E353D"/>
    <w:rsid w:val="004E6114"/>
    <w:rsid w:val="004E62F9"/>
    <w:rsid w:val="004F5B56"/>
    <w:rsid w:val="00501A99"/>
    <w:rsid w:val="00504D97"/>
    <w:rsid w:val="005051B8"/>
    <w:rsid w:val="005063AB"/>
    <w:rsid w:val="0050781D"/>
    <w:rsid w:val="005118D8"/>
    <w:rsid w:val="00521C9F"/>
    <w:rsid w:val="0054602D"/>
    <w:rsid w:val="00551431"/>
    <w:rsid w:val="0055186B"/>
    <w:rsid w:val="0055251C"/>
    <w:rsid w:val="00554B48"/>
    <w:rsid w:val="00561662"/>
    <w:rsid w:val="0056223A"/>
    <w:rsid w:val="00576F19"/>
    <w:rsid w:val="00583269"/>
    <w:rsid w:val="00584EFC"/>
    <w:rsid w:val="005A2DFB"/>
    <w:rsid w:val="005B2F56"/>
    <w:rsid w:val="005B3A79"/>
    <w:rsid w:val="005C07C4"/>
    <w:rsid w:val="005C57E6"/>
    <w:rsid w:val="005D6153"/>
    <w:rsid w:val="005E3F58"/>
    <w:rsid w:val="005E453F"/>
    <w:rsid w:val="005E493D"/>
    <w:rsid w:val="005F66B0"/>
    <w:rsid w:val="00602CBD"/>
    <w:rsid w:val="0061077E"/>
    <w:rsid w:val="00613710"/>
    <w:rsid w:val="00615F95"/>
    <w:rsid w:val="00621F64"/>
    <w:rsid w:val="0062426D"/>
    <w:rsid w:val="00631B42"/>
    <w:rsid w:val="0063576D"/>
    <w:rsid w:val="00636440"/>
    <w:rsid w:val="00637101"/>
    <w:rsid w:val="006451AF"/>
    <w:rsid w:val="006459B5"/>
    <w:rsid w:val="006516D6"/>
    <w:rsid w:val="00652D8B"/>
    <w:rsid w:val="006536C4"/>
    <w:rsid w:val="006542B7"/>
    <w:rsid w:val="00657325"/>
    <w:rsid w:val="00657771"/>
    <w:rsid w:val="00662D20"/>
    <w:rsid w:val="00662DF7"/>
    <w:rsid w:val="00665F65"/>
    <w:rsid w:val="00680482"/>
    <w:rsid w:val="00687FC4"/>
    <w:rsid w:val="00691A97"/>
    <w:rsid w:val="00692BED"/>
    <w:rsid w:val="006A16E7"/>
    <w:rsid w:val="006A6379"/>
    <w:rsid w:val="006B0DF4"/>
    <w:rsid w:val="006B154E"/>
    <w:rsid w:val="006B251F"/>
    <w:rsid w:val="006C4E36"/>
    <w:rsid w:val="006C5A5A"/>
    <w:rsid w:val="006C60B2"/>
    <w:rsid w:val="006C7F89"/>
    <w:rsid w:val="006D24FC"/>
    <w:rsid w:val="006D4516"/>
    <w:rsid w:val="006E3335"/>
    <w:rsid w:val="006E56D6"/>
    <w:rsid w:val="00705108"/>
    <w:rsid w:val="00706D6F"/>
    <w:rsid w:val="007114D8"/>
    <w:rsid w:val="007176F3"/>
    <w:rsid w:val="00733816"/>
    <w:rsid w:val="00736C5B"/>
    <w:rsid w:val="0073785E"/>
    <w:rsid w:val="00740D1C"/>
    <w:rsid w:val="007536CC"/>
    <w:rsid w:val="00763991"/>
    <w:rsid w:val="00764EAE"/>
    <w:rsid w:val="00766DFF"/>
    <w:rsid w:val="007741A5"/>
    <w:rsid w:val="00777918"/>
    <w:rsid w:val="00781B22"/>
    <w:rsid w:val="00781C25"/>
    <w:rsid w:val="00785DDE"/>
    <w:rsid w:val="00786942"/>
    <w:rsid w:val="00797797"/>
    <w:rsid w:val="007A1F39"/>
    <w:rsid w:val="007A6408"/>
    <w:rsid w:val="007A7780"/>
    <w:rsid w:val="007B5FC7"/>
    <w:rsid w:val="007C27AF"/>
    <w:rsid w:val="007C406E"/>
    <w:rsid w:val="007C69B8"/>
    <w:rsid w:val="007D2653"/>
    <w:rsid w:val="007D2B2A"/>
    <w:rsid w:val="007E5795"/>
    <w:rsid w:val="007E5DD1"/>
    <w:rsid w:val="007E749D"/>
    <w:rsid w:val="007F6EBB"/>
    <w:rsid w:val="008135A4"/>
    <w:rsid w:val="00821564"/>
    <w:rsid w:val="0082314B"/>
    <w:rsid w:val="0082493C"/>
    <w:rsid w:val="0082520E"/>
    <w:rsid w:val="00825475"/>
    <w:rsid w:val="008366D5"/>
    <w:rsid w:val="008449B6"/>
    <w:rsid w:val="00844CEE"/>
    <w:rsid w:val="008527CD"/>
    <w:rsid w:val="008601DD"/>
    <w:rsid w:val="008603CB"/>
    <w:rsid w:val="00872CD7"/>
    <w:rsid w:val="00876946"/>
    <w:rsid w:val="00877150"/>
    <w:rsid w:val="0088059A"/>
    <w:rsid w:val="00891AC8"/>
    <w:rsid w:val="008A4518"/>
    <w:rsid w:val="008A50F6"/>
    <w:rsid w:val="008A5A27"/>
    <w:rsid w:val="008B162F"/>
    <w:rsid w:val="008E0118"/>
    <w:rsid w:val="008F1A70"/>
    <w:rsid w:val="008F26F8"/>
    <w:rsid w:val="008F34CC"/>
    <w:rsid w:val="008F7B3E"/>
    <w:rsid w:val="00906C52"/>
    <w:rsid w:val="009223F3"/>
    <w:rsid w:val="00924EC8"/>
    <w:rsid w:val="00931650"/>
    <w:rsid w:val="00934897"/>
    <w:rsid w:val="009454DD"/>
    <w:rsid w:val="00975920"/>
    <w:rsid w:val="00981E02"/>
    <w:rsid w:val="0098371D"/>
    <w:rsid w:val="009900BE"/>
    <w:rsid w:val="00993574"/>
    <w:rsid w:val="00994377"/>
    <w:rsid w:val="00995B1E"/>
    <w:rsid w:val="009A114C"/>
    <w:rsid w:val="009B102D"/>
    <w:rsid w:val="009B2344"/>
    <w:rsid w:val="009B6314"/>
    <w:rsid w:val="009C48F4"/>
    <w:rsid w:val="009C7A9E"/>
    <w:rsid w:val="009D2D75"/>
    <w:rsid w:val="009D5DD6"/>
    <w:rsid w:val="009D7C2D"/>
    <w:rsid w:val="009F2172"/>
    <w:rsid w:val="00A01928"/>
    <w:rsid w:val="00A0296E"/>
    <w:rsid w:val="00A03952"/>
    <w:rsid w:val="00A0395A"/>
    <w:rsid w:val="00A040AB"/>
    <w:rsid w:val="00A06E03"/>
    <w:rsid w:val="00A16F5F"/>
    <w:rsid w:val="00A26715"/>
    <w:rsid w:val="00A2722D"/>
    <w:rsid w:val="00A34447"/>
    <w:rsid w:val="00A34624"/>
    <w:rsid w:val="00A41C23"/>
    <w:rsid w:val="00A50698"/>
    <w:rsid w:val="00A5690F"/>
    <w:rsid w:val="00A56A60"/>
    <w:rsid w:val="00A6348E"/>
    <w:rsid w:val="00A645DD"/>
    <w:rsid w:val="00A829ED"/>
    <w:rsid w:val="00A907E6"/>
    <w:rsid w:val="00A95F82"/>
    <w:rsid w:val="00AA527F"/>
    <w:rsid w:val="00AB7AF9"/>
    <w:rsid w:val="00AC0C04"/>
    <w:rsid w:val="00AC0CFD"/>
    <w:rsid w:val="00AC3DED"/>
    <w:rsid w:val="00AC5C07"/>
    <w:rsid w:val="00AD520D"/>
    <w:rsid w:val="00AF5979"/>
    <w:rsid w:val="00B00245"/>
    <w:rsid w:val="00B12E5E"/>
    <w:rsid w:val="00B25F43"/>
    <w:rsid w:val="00B51C8E"/>
    <w:rsid w:val="00B56604"/>
    <w:rsid w:val="00B61F9D"/>
    <w:rsid w:val="00B63889"/>
    <w:rsid w:val="00B6436C"/>
    <w:rsid w:val="00B67BD7"/>
    <w:rsid w:val="00B74F6A"/>
    <w:rsid w:val="00B76F64"/>
    <w:rsid w:val="00B843C4"/>
    <w:rsid w:val="00B8577A"/>
    <w:rsid w:val="00B87B29"/>
    <w:rsid w:val="00B973CF"/>
    <w:rsid w:val="00BA57AC"/>
    <w:rsid w:val="00BA744D"/>
    <w:rsid w:val="00BB1955"/>
    <w:rsid w:val="00BE2468"/>
    <w:rsid w:val="00BF0276"/>
    <w:rsid w:val="00C03159"/>
    <w:rsid w:val="00C075FB"/>
    <w:rsid w:val="00C13CBE"/>
    <w:rsid w:val="00C267D9"/>
    <w:rsid w:val="00C31755"/>
    <w:rsid w:val="00C41315"/>
    <w:rsid w:val="00C41972"/>
    <w:rsid w:val="00C45AC1"/>
    <w:rsid w:val="00C5007E"/>
    <w:rsid w:val="00C503D2"/>
    <w:rsid w:val="00C561BB"/>
    <w:rsid w:val="00C56D5E"/>
    <w:rsid w:val="00C615A3"/>
    <w:rsid w:val="00C75AF2"/>
    <w:rsid w:val="00C81E87"/>
    <w:rsid w:val="00C81EAC"/>
    <w:rsid w:val="00C84192"/>
    <w:rsid w:val="00C850E0"/>
    <w:rsid w:val="00C85352"/>
    <w:rsid w:val="00C870D4"/>
    <w:rsid w:val="00C905A6"/>
    <w:rsid w:val="00C95913"/>
    <w:rsid w:val="00CA0B40"/>
    <w:rsid w:val="00CA41EC"/>
    <w:rsid w:val="00CC502D"/>
    <w:rsid w:val="00CC50B8"/>
    <w:rsid w:val="00CC573D"/>
    <w:rsid w:val="00CD1D12"/>
    <w:rsid w:val="00CD4B6B"/>
    <w:rsid w:val="00CE53BE"/>
    <w:rsid w:val="00CF154C"/>
    <w:rsid w:val="00CF1CF5"/>
    <w:rsid w:val="00CF5EBA"/>
    <w:rsid w:val="00D01FA3"/>
    <w:rsid w:val="00D06365"/>
    <w:rsid w:val="00D107FB"/>
    <w:rsid w:val="00D11BDA"/>
    <w:rsid w:val="00D14A4B"/>
    <w:rsid w:val="00D16172"/>
    <w:rsid w:val="00D16E00"/>
    <w:rsid w:val="00D218C3"/>
    <w:rsid w:val="00D306FF"/>
    <w:rsid w:val="00D3360B"/>
    <w:rsid w:val="00D3429D"/>
    <w:rsid w:val="00D55A3A"/>
    <w:rsid w:val="00D66C4A"/>
    <w:rsid w:val="00D76A94"/>
    <w:rsid w:val="00D86C96"/>
    <w:rsid w:val="00D87075"/>
    <w:rsid w:val="00D87192"/>
    <w:rsid w:val="00D97A3B"/>
    <w:rsid w:val="00DA0690"/>
    <w:rsid w:val="00DA3E25"/>
    <w:rsid w:val="00DB076B"/>
    <w:rsid w:val="00DB0A23"/>
    <w:rsid w:val="00DB3E51"/>
    <w:rsid w:val="00DB7E34"/>
    <w:rsid w:val="00DC7E54"/>
    <w:rsid w:val="00DD52E0"/>
    <w:rsid w:val="00DD605F"/>
    <w:rsid w:val="00DD7857"/>
    <w:rsid w:val="00DE2544"/>
    <w:rsid w:val="00DE2B37"/>
    <w:rsid w:val="00DE73FE"/>
    <w:rsid w:val="00DF2B96"/>
    <w:rsid w:val="00E001F5"/>
    <w:rsid w:val="00E01B1A"/>
    <w:rsid w:val="00E04150"/>
    <w:rsid w:val="00E17576"/>
    <w:rsid w:val="00E204EC"/>
    <w:rsid w:val="00E236FE"/>
    <w:rsid w:val="00E24D79"/>
    <w:rsid w:val="00E3776D"/>
    <w:rsid w:val="00E4730F"/>
    <w:rsid w:val="00E61EA4"/>
    <w:rsid w:val="00E62F24"/>
    <w:rsid w:val="00E6478B"/>
    <w:rsid w:val="00E6707E"/>
    <w:rsid w:val="00E75723"/>
    <w:rsid w:val="00E80260"/>
    <w:rsid w:val="00E90566"/>
    <w:rsid w:val="00E96F85"/>
    <w:rsid w:val="00EA78CA"/>
    <w:rsid w:val="00EA7909"/>
    <w:rsid w:val="00EB3E94"/>
    <w:rsid w:val="00EC6FC5"/>
    <w:rsid w:val="00F02087"/>
    <w:rsid w:val="00F22A27"/>
    <w:rsid w:val="00F2443D"/>
    <w:rsid w:val="00F24F66"/>
    <w:rsid w:val="00F33F5F"/>
    <w:rsid w:val="00F42FFB"/>
    <w:rsid w:val="00F4446D"/>
    <w:rsid w:val="00F50C4D"/>
    <w:rsid w:val="00F50E04"/>
    <w:rsid w:val="00F523D6"/>
    <w:rsid w:val="00F56E06"/>
    <w:rsid w:val="00F5794B"/>
    <w:rsid w:val="00F7341D"/>
    <w:rsid w:val="00F779C9"/>
    <w:rsid w:val="00F77ABD"/>
    <w:rsid w:val="00F80132"/>
    <w:rsid w:val="00F8382A"/>
    <w:rsid w:val="00FB240C"/>
    <w:rsid w:val="00FB3731"/>
    <w:rsid w:val="00FD64B7"/>
    <w:rsid w:val="00FE11B5"/>
    <w:rsid w:val="00FE482A"/>
    <w:rsid w:val="00FF08AD"/>
    <w:rsid w:val="00FF12B6"/>
    <w:rsid w:val="00FF2C01"/>
    <w:rsid w:val="00FF3BD0"/>
    <w:rsid w:val="0190573F"/>
    <w:rsid w:val="039F7C9E"/>
    <w:rsid w:val="0628168F"/>
    <w:rsid w:val="06CF04CF"/>
    <w:rsid w:val="07B06B16"/>
    <w:rsid w:val="080B2C53"/>
    <w:rsid w:val="081170E7"/>
    <w:rsid w:val="08395C0C"/>
    <w:rsid w:val="08F94C31"/>
    <w:rsid w:val="0A650C83"/>
    <w:rsid w:val="0C8152E5"/>
    <w:rsid w:val="0EAD041A"/>
    <w:rsid w:val="0EEF208E"/>
    <w:rsid w:val="0F2616D5"/>
    <w:rsid w:val="0F701CEF"/>
    <w:rsid w:val="10414301"/>
    <w:rsid w:val="106136E6"/>
    <w:rsid w:val="111F1BA5"/>
    <w:rsid w:val="11483956"/>
    <w:rsid w:val="12A0000B"/>
    <w:rsid w:val="136B499A"/>
    <w:rsid w:val="146B257F"/>
    <w:rsid w:val="14AF76CB"/>
    <w:rsid w:val="161419F8"/>
    <w:rsid w:val="16412E53"/>
    <w:rsid w:val="16D4272F"/>
    <w:rsid w:val="180F02D1"/>
    <w:rsid w:val="190B5DB8"/>
    <w:rsid w:val="19D8403D"/>
    <w:rsid w:val="1A8C0FE2"/>
    <w:rsid w:val="1ADA2899"/>
    <w:rsid w:val="1AEB0C84"/>
    <w:rsid w:val="1B18222D"/>
    <w:rsid w:val="1B255C1D"/>
    <w:rsid w:val="1B2B5432"/>
    <w:rsid w:val="1B8B7FC2"/>
    <w:rsid w:val="1BB65E6E"/>
    <w:rsid w:val="1C4E1577"/>
    <w:rsid w:val="1D98760C"/>
    <w:rsid w:val="1E1D5C20"/>
    <w:rsid w:val="1EB51AB9"/>
    <w:rsid w:val="1F130DF5"/>
    <w:rsid w:val="1FA63EC4"/>
    <w:rsid w:val="20232D3F"/>
    <w:rsid w:val="20FC188A"/>
    <w:rsid w:val="211B299C"/>
    <w:rsid w:val="214F44E6"/>
    <w:rsid w:val="21A71D72"/>
    <w:rsid w:val="2221646A"/>
    <w:rsid w:val="224D7E02"/>
    <w:rsid w:val="225613F0"/>
    <w:rsid w:val="2288190E"/>
    <w:rsid w:val="22D03FBD"/>
    <w:rsid w:val="236209F6"/>
    <w:rsid w:val="24B87B7C"/>
    <w:rsid w:val="25043964"/>
    <w:rsid w:val="250C1BD0"/>
    <w:rsid w:val="256D0AE4"/>
    <w:rsid w:val="25B45257"/>
    <w:rsid w:val="27544F1A"/>
    <w:rsid w:val="290F7B43"/>
    <w:rsid w:val="29317A7E"/>
    <w:rsid w:val="296D4D7B"/>
    <w:rsid w:val="2F8710A1"/>
    <w:rsid w:val="30810128"/>
    <w:rsid w:val="30867FCD"/>
    <w:rsid w:val="317857C3"/>
    <w:rsid w:val="32222E32"/>
    <w:rsid w:val="353D2C49"/>
    <w:rsid w:val="360C2B21"/>
    <w:rsid w:val="364824B1"/>
    <w:rsid w:val="3ACB5A31"/>
    <w:rsid w:val="3C0F4EB8"/>
    <w:rsid w:val="3C313CBD"/>
    <w:rsid w:val="3CD25483"/>
    <w:rsid w:val="3D6C1AE1"/>
    <w:rsid w:val="3DC563DF"/>
    <w:rsid w:val="3DFB62A1"/>
    <w:rsid w:val="3E7003E0"/>
    <w:rsid w:val="3E9159BD"/>
    <w:rsid w:val="3F420E43"/>
    <w:rsid w:val="4131799F"/>
    <w:rsid w:val="41C2394C"/>
    <w:rsid w:val="42F64331"/>
    <w:rsid w:val="430A46B3"/>
    <w:rsid w:val="43DE5F65"/>
    <w:rsid w:val="45432338"/>
    <w:rsid w:val="458D33BC"/>
    <w:rsid w:val="4594629D"/>
    <w:rsid w:val="47C33F6A"/>
    <w:rsid w:val="48F0144B"/>
    <w:rsid w:val="4901466A"/>
    <w:rsid w:val="49664D49"/>
    <w:rsid w:val="4A1B7679"/>
    <w:rsid w:val="4B6817B3"/>
    <w:rsid w:val="4BE8057C"/>
    <w:rsid w:val="4C6758A1"/>
    <w:rsid w:val="4C7107E7"/>
    <w:rsid w:val="4C7617F6"/>
    <w:rsid w:val="4C96460D"/>
    <w:rsid w:val="4CBB3037"/>
    <w:rsid w:val="4E466165"/>
    <w:rsid w:val="4E9C09A8"/>
    <w:rsid w:val="4ED67910"/>
    <w:rsid w:val="4EFE440F"/>
    <w:rsid w:val="4F0763F6"/>
    <w:rsid w:val="4F407CF8"/>
    <w:rsid w:val="4FB77E5D"/>
    <w:rsid w:val="50CB1823"/>
    <w:rsid w:val="510E2A20"/>
    <w:rsid w:val="529A430E"/>
    <w:rsid w:val="530452CD"/>
    <w:rsid w:val="538A65B5"/>
    <w:rsid w:val="53DB3DAE"/>
    <w:rsid w:val="541B6CBB"/>
    <w:rsid w:val="54B16A53"/>
    <w:rsid w:val="55904A36"/>
    <w:rsid w:val="55AB3092"/>
    <w:rsid w:val="55BA0DEA"/>
    <w:rsid w:val="56261D98"/>
    <w:rsid w:val="56D800CE"/>
    <w:rsid w:val="5946129E"/>
    <w:rsid w:val="595E4AE4"/>
    <w:rsid w:val="5AAB33BB"/>
    <w:rsid w:val="5ACD39D4"/>
    <w:rsid w:val="5B6928DB"/>
    <w:rsid w:val="5BB726A7"/>
    <w:rsid w:val="5BCC2BFC"/>
    <w:rsid w:val="5BEE1192"/>
    <w:rsid w:val="5CA860D8"/>
    <w:rsid w:val="5FB16F22"/>
    <w:rsid w:val="5FC203D4"/>
    <w:rsid w:val="60A062EE"/>
    <w:rsid w:val="62571E28"/>
    <w:rsid w:val="64797F97"/>
    <w:rsid w:val="64DF0483"/>
    <w:rsid w:val="652442CB"/>
    <w:rsid w:val="657C1939"/>
    <w:rsid w:val="669A579A"/>
    <w:rsid w:val="66AC74D4"/>
    <w:rsid w:val="67E53F6C"/>
    <w:rsid w:val="67F9652C"/>
    <w:rsid w:val="684347E6"/>
    <w:rsid w:val="68C83230"/>
    <w:rsid w:val="69FA7BB4"/>
    <w:rsid w:val="6A5E7C48"/>
    <w:rsid w:val="6AD92A55"/>
    <w:rsid w:val="6B49463F"/>
    <w:rsid w:val="6BFD31D2"/>
    <w:rsid w:val="6C286DDE"/>
    <w:rsid w:val="6C2C0C38"/>
    <w:rsid w:val="6C4167CD"/>
    <w:rsid w:val="6C5B3BD0"/>
    <w:rsid w:val="6CEF6607"/>
    <w:rsid w:val="6D1E2DEC"/>
    <w:rsid w:val="6D967FA6"/>
    <w:rsid w:val="6F087BA4"/>
    <w:rsid w:val="6F4604CD"/>
    <w:rsid w:val="6F7A2B63"/>
    <w:rsid w:val="70161BEC"/>
    <w:rsid w:val="70985CCF"/>
    <w:rsid w:val="72832343"/>
    <w:rsid w:val="73953610"/>
    <w:rsid w:val="73C236DC"/>
    <w:rsid w:val="743B661C"/>
    <w:rsid w:val="743F75DB"/>
    <w:rsid w:val="751B08DB"/>
    <w:rsid w:val="761E7D69"/>
    <w:rsid w:val="76D50748"/>
    <w:rsid w:val="775F7815"/>
    <w:rsid w:val="78162875"/>
    <w:rsid w:val="7936376C"/>
    <w:rsid w:val="798B43E3"/>
    <w:rsid w:val="7A35458C"/>
    <w:rsid w:val="7A3C1B84"/>
    <w:rsid w:val="7AF00837"/>
    <w:rsid w:val="7BBF0CBF"/>
    <w:rsid w:val="7CB90662"/>
    <w:rsid w:val="7CEB2D63"/>
    <w:rsid w:val="7D6F401F"/>
    <w:rsid w:val="7DDD1492"/>
    <w:rsid w:val="7E292808"/>
    <w:rsid w:val="7EB73997"/>
    <w:rsid w:val="7EDF0ED2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semiHidden/>
    <w:unhideWhenUsed/>
    <w:qFormat/>
    <w:uiPriority w:val="39"/>
  </w:style>
  <w:style w:type="paragraph" w:styleId="10">
    <w:name w:val="toc 2"/>
    <w:basedOn w:val="1"/>
    <w:next w:val="1"/>
    <w:semiHidden/>
    <w:unhideWhenUsed/>
    <w:qFormat/>
    <w:uiPriority w:val="39"/>
    <w:pPr>
      <w:ind w:left="420" w:leftChars="200"/>
    </w:p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FollowedHyperlink"/>
    <w:basedOn w:val="1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5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17">
    <w:name w:val="标题 1 Char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8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标题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标题 3 Char"/>
    <w:basedOn w:val="13"/>
    <w:link w:val="4"/>
    <w:qFormat/>
    <w:uiPriority w:val="9"/>
    <w:rPr>
      <w:b/>
      <w:bCs/>
      <w:sz w:val="32"/>
      <w:szCs w:val="32"/>
    </w:rPr>
  </w:style>
  <w:style w:type="character" w:customStyle="1" w:styleId="23">
    <w:name w:val="标题 4 Char"/>
    <w:basedOn w:val="13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4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6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A1E946-9E25-433C-834A-B635A5534A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4585</Words>
  <Characters>4733</Characters>
  <Lines>36</Lines>
  <Paragraphs>10</Paragraphs>
  <TotalTime>100</TotalTime>
  <ScaleCrop>false</ScaleCrop>
  <LinksUpToDate>false</LinksUpToDate>
  <CharactersWithSpaces>4853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2017-03-07T14:27:00Z</dcterms:created>
  <dc:creator>Windows 用户</dc:creator>
  <cp:lastModifiedBy>夹心饼干</cp:lastModifiedBy>
  <dcterms:modified xsi:type="dcterms:W3CDTF">2022-07-20T03:39:01Z</dcterms:modified>
  <cp:revision>384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455B20395DD34774858A7AD37A39D6A7</vt:lpwstr>
  </property>
</Properties>
</file>